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泸县综合行政执法局2019年</w:t>
      </w:r>
      <w:r>
        <w:rPr>
          <w:rFonts w:hint="eastAsia" w:ascii="方正小标宋_GBK" w:eastAsia="方正小标宋_GBK"/>
          <w:sz w:val="44"/>
          <w:szCs w:val="44"/>
          <w:lang w:val="en-US" w:eastAsia="zh-CN"/>
        </w:rPr>
        <w:t>11</w:t>
      </w:r>
      <w:r>
        <w:rPr>
          <w:rFonts w:hint="eastAsia" w:ascii="方正小标宋_GBK" w:eastAsia="方正小标宋_GBK"/>
          <w:sz w:val="44"/>
          <w:szCs w:val="44"/>
        </w:rPr>
        <w:t>月行政处罚案件信息公开表</w:t>
      </w:r>
    </w:p>
    <w:p/>
    <w:tbl>
      <w:tblPr>
        <w:tblStyle w:val="3"/>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94"/>
        <w:gridCol w:w="1230"/>
        <w:gridCol w:w="2303"/>
        <w:gridCol w:w="2650"/>
        <w:gridCol w:w="1496"/>
        <w:gridCol w:w="2097"/>
        <w:gridCol w:w="1874"/>
        <w:gridCol w:w="1381"/>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0" w:hRule="atLeast"/>
          <w:tblHeader/>
        </w:trPr>
        <w:tc>
          <w:tcPr>
            <w:tcW w:w="394"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序号</w:t>
            </w:r>
          </w:p>
        </w:tc>
        <w:tc>
          <w:tcPr>
            <w:tcW w:w="123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行政处罚决定文书号</w:t>
            </w:r>
          </w:p>
        </w:tc>
        <w:tc>
          <w:tcPr>
            <w:tcW w:w="2303"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案件名称</w:t>
            </w:r>
          </w:p>
        </w:tc>
        <w:tc>
          <w:tcPr>
            <w:tcW w:w="265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违法企业名称或违法自然人统一社会信用代码</w:t>
            </w:r>
          </w:p>
        </w:tc>
        <w:tc>
          <w:tcPr>
            <w:tcW w:w="1496"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处罚事由</w:t>
            </w:r>
          </w:p>
        </w:tc>
        <w:tc>
          <w:tcPr>
            <w:tcW w:w="2097"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行政处罚结果和依据</w:t>
            </w:r>
          </w:p>
        </w:tc>
        <w:tc>
          <w:tcPr>
            <w:tcW w:w="1874"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救济渠道</w:t>
            </w:r>
          </w:p>
        </w:tc>
        <w:tc>
          <w:tcPr>
            <w:tcW w:w="1381"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作出处罚的日期</w:t>
            </w:r>
          </w:p>
        </w:tc>
        <w:tc>
          <w:tcPr>
            <w:tcW w:w="510" w:type="dxa"/>
            <w:shd w:val="clear" w:color="auto" w:fill="auto"/>
            <w:vAlign w:val="center"/>
          </w:tcPr>
          <w:p>
            <w:pPr>
              <w:jc w:val="center"/>
              <w:rPr>
                <w:rFonts w:ascii="黑体" w:hAnsi="黑体" w:eastAsia="黑体" w:cs="宋体"/>
                <w:color w:val="333333"/>
                <w:kern w:val="0"/>
                <w:sz w:val="24"/>
                <w:szCs w:val="24"/>
              </w:rPr>
            </w:pPr>
            <w:r>
              <w:rPr>
                <w:rFonts w:hint="eastAsia" w:ascii="黑体" w:hAnsi="黑体" w:eastAsia="黑体" w:cs="宋体"/>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94" w:type="dxa"/>
            <w:shd w:val="clear" w:color="auto" w:fill="auto"/>
            <w:vAlign w:val="center"/>
          </w:tcPr>
          <w:p>
            <w:pPr>
              <w:jc w:val="center"/>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w:t>
            </w:r>
          </w:p>
        </w:tc>
        <w:tc>
          <w:tcPr>
            <w:tcW w:w="1230"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泸县综合罚</w:t>
            </w:r>
            <w:r>
              <w:rPr>
                <w:rFonts w:hint="eastAsia" w:ascii="仿宋_GB2312" w:hAnsi="仿宋_GB2312" w:eastAsia="仿宋_GB2312" w:cs="仿宋_GB2312"/>
                <w:color w:val="333333"/>
                <w:kern w:val="0"/>
                <w:sz w:val="24"/>
                <w:szCs w:val="24"/>
                <w:lang w:eastAsia="zh-CN"/>
              </w:rPr>
              <w:t>临</w:t>
            </w:r>
            <w:r>
              <w:rPr>
                <w:rFonts w:hint="eastAsia" w:ascii="仿宋_GB2312" w:hAnsi="仿宋_GB2312" w:eastAsia="仿宋_GB2312" w:cs="仿宋_GB2312"/>
                <w:color w:val="333333"/>
                <w:kern w:val="0"/>
                <w:sz w:val="24"/>
                <w:szCs w:val="24"/>
              </w:rPr>
              <w:t>〔2019〕第</w:t>
            </w:r>
            <w:r>
              <w:rPr>
                <w:rFonts w:hint="eastAsia" w:ascii="仿宋_GB2312" w:hAnsi="仿宋_GB2312" w:eastAsia="仿宋_GB2312" w:cs="仿宋_GB2312"/>
                <w:color w:val="333333"/>
                <w:kern w:val="0"/>
                <w:sz w:val="24"/>
                <w:szCs w:val="24"/>
                <w:lang w:val="en-US" w:eastAsia="zh-CN"/>
              </w:rPr>
              <w:t>1</w:t>
            </w:r>
            <w:r>
              <w:rPr>
                <w:rFonts w:hint="eastAsia" w:ascii="仿宋_GB2312" w:hAnsi="仿宋_GB2312" w:eastAsia="仿宋_GB2312" w:cs="仿宋_GB2312"/>
                <w:color w:val="333333"/>
                <w:kern w:val="0"/>
                <w:sz w:val="24"/>
                <w:szCs w:val="24"/>
              </w:rPr>
              <w:t>号</w:t>
            </w:r>
          </w:p>
        </w:tc>
        <w:tc>
          <w:tcPr>
            <w:tcW w:w="2303" w:type="dxa"/>
            <w:shd w:val="clear" w:color="auto" w:fill="auto"/>
            <w:vAlign w:val="center"/>
          </w:tcPr>
          <w:p>
            <w:pPr>
              <w:jc w:val="center"/>
              <w:rPr>
                <w:rFonts w:hint="eastAsia" w:ascii="仿宋_GB2312" w:hAnsi="仿宋_GB2312" w:eastAsia="仿宋_GB2312" w:cs="仿宋_GB2312"/>
                <w:color w:val="333333"/>
                <w:kern w:val="0"/>
                <w:sz w:val="24"/>
                <w:szCs w:val="24"/>
                <w:lang w:eastAsia="zh-CN"/>
              </w:rPr>
            </w:pPr>
            <w:r>
              <w:rPr>
                <w:rFonts w:hint="eastAsia" w:ascii="仿宋_GB2312" w:hAnsi="宋体" w:eastAsia="仿宋_GB2312"/>
                <w:color w:val="000000"/>
                <w:sz w:val="24"/>
                <w:szCs w:val="24"/>
                <w:lang w:eastAsia="zh-CN"/>
              </w:rPr>
              <w:t>泸州天立物业有限公司在泸县玉蟾街道玉蟾温泉国际度假区高端温泉区物业管理区内未及时制止并报告违法建设案</w:t>
            </w:r>
          </w:p>
        </w:tc>
        <w:tc>
          <w:tcPr>
            <w:tcW w:w="2650"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宋体" w:eastAsia="仿宋_GB2312"/>
                <w:color w:val="000000"/>
                <w:sz w:val="24"/>
                <w:szCs w:val="24"/>
                <w:lang w:eastAsia="zh-CN"/>
              </w:rPr>
              <w:t>泸州天立物业有限公司</w:t>
            </w:r>
            <w:r>
              <w:rPr>
                <w:rFonts w:hint="eastAsia" w:ascii="仿宋_GB2312" w:hAnsi="宋体" w:eastAsia="仿宋_GB2312"/>
                <w:color w:val="000000"/>
                <w:sz w:val="24"/>
                <w:szCs w:val="24"/>
              </w:rPr>
              <w:t>（</w:t>
            </w:r>
            <w:r>
              <w:rPr>
                <w:rFonts w:hint="eastAsia" w:ascii="仿宋_GB2312" w:hAnsi="仿宋" w:eastAsia="仿宋_GB2312" w:cs="Tahoma"/>
                <w:color w:val="000000"/>
                <w:kern w:val="0"/>
                <w:sz w:val="24"/>
                <w:szCs w:val="24"/>
              </w:rPr>
              <w:t>统一社会信用代码：915105</w:t>
            </w:r>
            <w:r>
              <w:rPr>
                <w:rFonts w:hint="eastAsia" w:ascii="仿宋_GB2312" w:hAnsi="仿宋" w:eastAsia="仿宋_GB2312" w:cs="Tahoma"/>
                <w:color w:val="000000"/>
                <w:kern w:val="0"/>
                <w:sz w:val="24"/>
                <w:szCs w:val="24"/>
                <w:lang w:val="en-US" w:eastAsia="zh-CN"/>
              </w:rPr>
              <w:t>047298103231</w:t>
            </w:r>
            <w:r>
              <w:rPr>
                <w:rFonts w:hint="eastAsia" w:ascii="仿宋_GB2312" w:hAnsi="宋体" w:eastAsia="仿宋_GB2312"/>
                <w:color w:val="000000"/>
                <w:sz w:val="24"/>
                <w:szCs w:val="24"/>
              </w:rPr>
              <w:t>）</w:t>
            </w:r>
          </w:p>
        </w:tc>
        <w:tc>
          <w:tcPr>
            <w:tcW w:w="1496"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宋体" w:eastAsia="仿宋_GB2312"/>
                <w:color w:val="000000"/>
                <w:sz w:val="24"/>
                <w:szCs w:val="24"/>
                <w:lang w:eastAsia="zh-CN"/>
              </w:rPr>
              <w:t>未及时制止并报告违法建设</w:t>
            </w:r>
          </w:p>
        </w:tc>
        <w:tc>
          <w:tcPr>
            <w:tcW w:w="2097"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 w:eastAsia="仿宋_GB2312"/>
                <w:color w:val="000000"/>
                <w:sz w:val="24"/>
                <w:szCs w:val="24"/>
              </w:rPr>
              <w:t>罚款人民币</w:t>
            </w:r>
            <w:r>
              <w:rPr>
                <w:rFonts w:hint="eastAsia" w:ascii="仿宋_GB2312" w:hAnsi="仿宋" w:eastAsia="仿宋_GB2312"/>
                <w:color w:val="000000"/>
                <w:sz w:val="24"/>
                <w:szCs w:val="24"/>
                <w:lang w:val="en-US" w:eastAsia="zh-CN"/>
              </w:rPr>
              <w:t>2</w:t>
            </w:r>
            <w:r>
              <w:rPr>
                <w:rFonts w:hint="eastAsia" w:ascii="仿宋_GB2312" w:hAnsi="仿宋" w:eastAsia="仿宋_GB2312"/>
                <w:color w:val="000000"/>
                <w:sz w:val="24"/>
                <w:szCs w:val="24"/>
              </w:rPr>
              <w:t>0000.00元（大写：</w:t>
            </w:r>
            <w:r>
              <w:rPr>
                <w:rFonts w:hint="eastAsia" w:ascii="仿宋_GB2312" w:hAnsi="仿宋" w:eastAsia="仿宋_GB2312"/>
                <w:color w:val="000000"/>
                <w:sz w:val="24"/>
                <w:szCs w:val="24"/>
                <w:lang w:eastAsia="zh-CN"/>
              </w:rPr>
              <w:t>贰</w:t>
            </w:r>
            <w:r>
              <w:rPr>
                <w:rFonts w:hint="eastAsia" w:ascii="仿宋_GB2312" w:hAnsi="仿宋" w:eastAsia="仿宋_GB2312"/>
                <w:color w:val="000000"/>
                <w:sz w:val="24"/>
                <w:szCs w:val="24"/>
              </w:rPr>
              <w:t>万元整）；《</w:t>
            </w:r>
            <w:r>
              <w:rPr>
                <w:rFonts w:hint="eastAsia" w:ascii="仿宋_GB2312" w:hAnsi="仿宋" w:eastAsia="仿宋_GB2312"/>
                <w:color w:val="000000"/>
                <w:sz w:val="24"/>
                <w:szCs w:val="24"/>
                <w:lang w:eastAsia="zh-CN"/>
              </w:rPr>
              <w:t>泸州市违法建设治理条例</w:t>
            </w:r>
            <w:r>
              <w:rPr>
                <w:rFonts w:hint="eastAsia" w:ascii="仿宋_GB2312" w:hAnsi="仿宋" w:eastAsia="仿宋_GB2312"/>
                <w:color w:val="000000"/>
                <w:sz w:val="24"/>
                <w:szCs w:val="24"/>
              </w:rPr>
              <w:t>》第</w:t>
            </w:r>
            <w:r>
              <w:rPr>
                <w:rFonts w:hint="eastAsia" w:ascii="仿宋_GB2312" w:hAnsi="仿宋" w:eastAsia="仿宋_GB2312"/>
                <w:color w:val="000000"/>
                <w:sz w:val="24"/>
                <w:szCs w:val="24"/>
                <w:lang w:eastAsia="zh-CN"/>
              </w:rPr>
              <w:t>三十七</w:t>
            </w:r>
            <w:r>
              <w:rPr>
                <w:rFonts w:hint="eastAsia" w:ascii="仿宋_GB2312" w:hAnsi="仿宋" w:eastAsia="仿宋_GB2312"/>
                <w:color w:val="000000"/>
                <w:sz w:val="24"/>
                <w:szCs w:val="24"/>
              </w:rPr>
              <w:t>条</w:t>
            </w:r>
          </w:p>
        </w:tc>
        <w:tc>
          <w:tcPr>
            <w:tcW w:w="1874" w:type="dxa"/>
            <w:shd w:val="clear" w:color="auto" w:fill="auto"/>
            <w:vAlign w:val="center"/>
          </w:tcPr>
          <w:p>
            <w:pPr>
              <w:jc w:val="center"/>
              <w:rPr>
                <w:rFonts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60日内向泸州市城市管理行政执法局或泸县人民政府申请行政复议，或者在收到本决定书之日起6个月内向泸县人民法院起诉</w:t>
            </w:r>
          </w:p>
        </w:tc>
        <w:tc>
          <w:tcPr>
            <w:tcW w:w="1381" w:type="dxa"/>
            <w:shd w:val="clear" w:color="auto" w:fill="auto"/>
            <w:vAlign w:val="center"/>
          </w:tcPr>
          <w:p>
            <w:pPr>
              <w:jc w:val="center"/>
              <w:rPr>
                <w:rFonts w:hint="default" w:ascii="仿宋_GB2312" w:hAnsi="仿宋_GB2312" w:eastAsia="仿宋_GB2312" w:cs="仿宋_GB2312"/>
                <w:color w:val="333333"/>
                <w:kern w:val="0"/>
                <w:sz w:val="24"/>
                <w:szCs w:val="24"/>
                <w:lang w:val="en-US" w:eastAsia="zh-CN"/>
              </w:rPr>
            </w:pPr>
            <w:r>
              <w:rPr>
                <w:rFonts w:hint="eastAsia" w:ascii="仿宋_GB2312" w:hAnsi="仿宋_GB2312" w:eastAsia="仿宋_GB2312" w:cs="仿宋_GB2312"/>
                <w:color w:val="333333"/>
                <w:kern w:val="0"/>
                <w:sz w:val="24"/>
                <w:szCs w:val="24"/>
              </w:rPr>
              <w:t>2019.</w:t>
            </w:r>
            <w:r>
              <w:rPr>
                <w:rFonts w:hint="eastAsia" w:ascii="仿宋_GB2312" w:hAnsi="仿宋_GB2312" w:eastAsia="仿宋_GB2312" w:cs="仿宋_GB2312"/>
                <w:color w:val="333333"/>
                <w:kern w:val="0"/>
                <w:sz w:val="24"/>
                <w:szCs w:val="24"/>
                <w:lang w:val="en-US" w:eastAsia="zh-CN"/>
              </w:rPr>
              <w:t>11</w:t>
            </w:r>
            <w:r>
              <w:rPr>
                <w:rFonts w:hint="eastAsia" w:ascii="仿宋_GB2312" w:hAnsi="仿宋_GB2312" w:eastAsia="仿宋_GB2312" w:cs="仿宋_GB2312"/>
                <w:color w:val="333333"/>
                <w:kern w:val="0"/>
                <w:sz w:val="24"/>
                <w:szCs w:val="24"/>
              </w:rPr>
              <w:t>.</w:t>
            </w:r>
            <w:r>
              <w:rPr>
                <w:rFonts w:hint="eastAsia" w:ascii="仿宋_GB2312" w:hAnsi="仿宋_GB2312" w:eastAsia="仿宋_GB2312" w:cs="仿宋_GB2312"/>
                <w:color w:val="333333"/>
                <w:kern w:val="0"/>
                <w:sz w:val="24"/>
                <w:szCs w:val="24"/>
                <w:lang w:val="en-US" w:eastAsia="zh-CN"/>
              </w:rPr>
              <w:t>13</w:t>
            </w:r>
            <w:bookmarkStart w:id="0" w:name="_GoBack"/>
            <w:bookmarkEnd w:id="0"/>
          </w:p>
        </w:tc>
        <w:tc>
          <w:tcPr>
            <w:tcW w:w="510" w:type="dxa"/>
            <w:shd w:val="clear" w:color="auto" w:fill="auto"/>
            <w:vAlign w:val="center"/>
          </w:tcPr>
          <w:p>
            <w:pPr>
              <w:jc w:val="center"/>
              <w:rPr>
                <w:rFonts w:ascii="仿宋_GB2312" w:hAnsi="宋体" w:eastAsia="仿宋_GB2312" w:cs="宋体"/>
                <w:color w:val="333333"/>
                <w:kern w:val="0"/>
                <w:sz w:val="24"/>
                <w:szCs w:val="24"/>
              </w:rPr>
            </w:pPr>
          </w:p>
          <w:p>
            <w:pPr>
              <w:jc w:val="center"/>
              <w:rPr>
                <w:rFonts w:ascii="仿宋_GB2312" w:hAnsi="宋体" w:eastAsia="仿宋_GB2312" w:cs="宋体"/>
                <w:color w:val="333333"/>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249E7"/>
    <w:rsid w:val="00064DF9"/>
    <w:rsid w:val="00300A27"/>
    <w:rsid w:val="004536EF"/>
    <w:rsid w:val="004C1DBA"/>
    <w:rsid w:val="00627B74"/>
    <w:rsid w:val="006733C2"/>
    <w:rsid w:val="006E2470"/>
    <w:rsid w:val="007B63BF"/>
    <w:rsid w:val="009E2E2A"/>
    <w:rsid w:val="00AB464D"/>
    <w:rsid w:val="00C20071"/>
    <w:rsid w:val="00D444E5"/>
    <w:rsid w:val="00E264F5"/>
    <w:rsid w:val="00E56C7F"/>
    <w:rsid w:val="00FD3E87"/>
    <w:rsid w:val="00FF17A5"/>
    <w:rsid w:val="2FFF3C0D"/>
    <w:rsid w:val="46456ABE"/>
    <w:rsid w:val="7817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样式1"/>
    <w:basedOn w:val="1"/>
    <w:link w:val="6"/>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6">
    <w:name w:val="样式1 Char"/>
    <w:basedOn w:val="4"/>
    <w:link w:val="5"/>
    <w:qFormat/>
    <w:uiPriority w:val="0"/>
    <w:rPr>
      <w:rFonts w:ascii="方正小标宋_GBK" w:hAnsi="等线" w:eastAsia="方正小标宋_GBK" w:cs="Times New Roman"/>
      <w:sz w:val="44"/>
      <w:szCs w:val="44"/>
    </w:rPr>
  </w:style>
  <w:style w:type="paragraph" w:customStyle="1" w:styleId="7">
    <w:name w:val="样式2"/>
    <w:basedOn w:val="1"/>
    <w:link w:val="8"/>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8">
    <w:name w:val="样式2 Char"/>
    <w:basedOn w:val="4"/>
    <w:link w:val="7"/>
    <w:qFormat/>
    <w:uiPriority w:val="0"/>
    <w:rPr>
      <w:rFonts w:ascii="仿宋_GB2312" w:hAnsi="等线" w:eastAsia="仿宋_GB2312" w:cs="Times New Roman"/>
      <w:sz w:val="32"/>
      <w:szCs w:val="32"/>
    </w:rPr>
  </w:style>
  <w:style w:type="paragraph" w:customStyle="1" w:styleId="9">
    <w:name w:val="样式3"/>
    <w:basedOn w:val="1"/>
    <w:link w:val="10"/>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0">
    <w:name w:val="样式3 Char"/>
    <w:basedOn w:val="4"/>
    <w:link w:val="9"/>
    <w:qFormat/>
    <w:uiPriority w:val="0"/>
    <w:rPr>
      <w:rFonts w:ascii="黑体" w:hAnsi="黑体" w:eastAsia="黑体" w:cs="Times New Roman"/>
      <w:sz w:val="32"/>
      <w:szCs w:val="32"/>
    </w:rPr>
  </w:style>
  <w:style w:type="character" w:customStyle="1" w:styleId="11">
    <w:name w:val="标题 2 字符"/>
    <w:basedOn w:val="4"/>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TotalTime>1</TotalTime>
  <ScaleCrop>false</ScaleCrop>
  <LinksUpToDate>false</LinksUpToDate>
  <CharactersWithSpaces>1919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玻璃杯1416109921</cp:lastModifiedBy>
  <dcterms:modified xsi:type="dcterms:W3CDTF">2019-11-22T03:36:45Z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